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61 vom 17. März 2026</w:t>
      </w:r>
    </w:p>
    <w:p>
      <w:r>
        <w:t>GR Gerichte, 2026-03-17, DE</w:t>
      </w:r>
    </w:p>
    <w:p>
      <w:r>
        <w:rPr>
          <w:b/>
        </w:rPr>
        <w:t xml:space="preserve">Quelle: </w:t>
      </w:r>
      <w:r>
        <w:t>https://mcp.opencaselaw.ch/entscheid/gr_gerichte_VR3 2025 61</w:t>
      </w:r>
    </w:p>
    <w:p>
      <w:r>
        <w:t>FR: GR_GERICHTE VR3 2025 61 du 17 mars 2026</w:t>
      </w:r>
    </w:p>
    <w:p>
      <w:r>
        <w:t>IT: GR_GERICHTE VR3 2025 61 del 17 marzo 2026</w:t>
      </w:r>
    </w:p>
    <w:p>
      <w:pPr>
        <w:pStyle w:val="Heading2"/>
      </w:pPr>
      <w:r>
        <w:t>Erwägungen</w:t>
      </w:r>
    </w:p>
    <w:p>
      <w:r>
        <w:rPr>
          <w:b/>
        </w:rPr>
        <w:t>E. 5</w:t>
      </w:r>
    </w:p>
    <w:p>
      <w:r>
        <w:t>/ 24 am Grundstück Z.3._____ berechtigt. Damit ist fraglich, ob er überhaupt ein schutz- würdiges Interesse an der Aufhebung oder Änderung des angefochtenen Einspra- cheentscheids hat und die Voraussetzungen für die Legitimation zur Beschwerde erfüllen kann. Letztlich kann diese Frage offen gelassen werden, da zumindest J._____ zur Beschwerdeerhebung legitimiert ist (Art. 50 VRG; vgl. dazu Urteile des Verwaltungsgerichts R 19 36 vom 4. Mai 2020 E. 2.1, R 19 18/19 vom 28. Mai 2020 E. 1.2, R 13 158 vom 22. Oktober 2013 E.1, R 12 53 vom 9. Oktober 2012 E. 2a). Im Übrigen sind auch die anderen Beschwerdeführenden zur Beschwerdeerhebung legitimiert. Auf die form- (Art. 38 VRG) und fristgerecht (Art. 52 Abs. 1 VRG) einge- reichten Beschwerden ist einzutreten. 1.2. Die beiden Beschwerden wurden getrennt eingereicht, betreffen aber das gleiche Bauprojekt und richten sich gegen den gleichen Einspracheentscheid der Gemeinde. Es rechtfertigt sich daher, die beiden Verfahren VR3 25 60 und VR3 25 61 zu vereinigen (Art. 6 Abs. 1 lit. a VRG). 2. Zum anwendbaren Recht ist festzuhalten, dass in der Gemeinde am _____ die Teilrevision der Ortsplanung (Teilrevision der Nutzungsplanung Teil Siedlung und des Baugesetzes) angenommen worden ist. Diese befindet sich zurzeit im kan- tonalen Genehmigungsverfahren. Gemäss Art. 48 Abs. 6 KRG (BR 801.100) entfal- ten Beschlüsse über den Erlass oder die Änderung der Grundordnung bis zur Ge- nehmigung der Vorlage die Wirkung einer kommunalen Planungszone. In einer sol- chen darf gemäss Art. 21 Abs. 2 KRG nichts unternommen werden, was die neue Planung erschweren oder dieser entgegenstehen könnte. Insbesondere dürfen Bauvorhaben nur bewilligt werden, wenn sie weder den rechtskräftigen noch den vorgesehenen neuen Planungen und Vorschriften widersprechen. Das bedeutet für das vorliegende Verfahren, dass das Bauvorhaben sowohl dem rechtskräftigen Baugesetz (BauG) als auch dem neuen Baugesetz entsprechen muss (vgl. das nBauG in act. C.2.7). 3. Das Obergericht verfügt im Raumplanungs- und Baurecht gestützt auf Art. 33 Abs. 2 und Abs. 3 lit. b RPG (SR 700) über eine umfassende Kognition, die nicht auf die Rechts- und Sachverhaltskontrolle nach Art. 51 Abs. 1 VRG beschränkt ist. Betrifft der angefochtene Entscheid einen Sachbereich mit relativ erheblichem kom- munalem Beurteilungsspielraum, wie insbesondere bei ortsspezifischen Angele- genheiten, hat sich das Obergericht aber – infolge der den Gemeinden zustehenden Autonomie (Art. 50 Abs. 1 BV und Art. 65 Abs. 1 der Verfassung des Kantons Graubünden [BR 110.100; KV]) – bei der Überprüfung desselben eine gewisse Zurückhaltung aufzuerlegen. Dies bedeutet jedoch nicht, dass das Obergericht erst tätig werden darf, wenn die vorinstanzliche Beurteilung willkürlich ist. Vielmehr sind</w:t>
      </w:r>
    </w:p>
    <w:p>
      <w:r>
        <w:rPr>
          <w:b/>
        </w:rPr>
        <w:t>E. 5.1</w:t>
      </w:r>
    </w:p>
    <w:p>
      <w:r>
        <w:t>Gemäss Zonenschema (Art. 26 BauG und nBauG) darf die Gebäude- bzw. Gesamthöhe in der Kernzone II maximal 12 Meter betragen. Gemäss Art. 41 Abs. 2 BauG und nBauG darf dieser Wert talseits um bis zu 3.00 m überschritten werden. Bergseits ist die gesetzliche Gebäudehöhe einzuhalten.</w:t>
      </w:r>
    </w:p>
    <w:p>
      <w:r>
        <w:rPr>
          <w:b/>
        </w:rPr>
        <w:t>E. 5.2</w:t>
      </w:r>
    </w:p>
    <w:p>
      <w:r>
        <w:t>Bereits in der Einsprache war eine Überschreitung der maximal zulässigen Gesamthöhe gerügt worden. Im angefochtenen Einspracheentscheid legte die Ge- meinde dar, dass einzig umstritten sein könne, ob die (östliche) Gebäudeecke 1 beim Haus L._____ und die (südwestliche) Gebäudeecke 9 beim Haus M._____ als berg- oder talseitig zu qualifizieren sei. Aufgrund des spezifischen Geländeverlaufs könnten diese als talseitig angesehen werden, womit die maximale Gesamthöhe an diesen Gebäudeecken 15 Meter betrage, die beim Haus M._____ eingehalten und beim Haus L._____ um 4 cm überschritten werde. Im Sinne einer Auflage wurde die Bauherrschaft im angefochtenen Einspracheentscheid deshalb angewiesen, das Haus L._____ um 4 cm zu reduzieren (act. B.1).</w:t>
      </w:r>
    </w:p>
    <w:p>
      <w:r>
        <w:rPr>
          <w:b/>
        </w:rPr>
        <w:t>E. 5.3</w:t>
      </w:r>
    </w:p>
    <w:p>
      <w:r>
        <w:t>Die Beschwerdeführenden (im Verfahren VR3 25 60) bringen vor, die (süd- westliche) Gebäudeecke 9 beim Haus M._____ könne nicht als talseitig qualifiziert werden. Verschiedene Gründe, insbesondere die geringere Höhendifferenz zu den bergseitigen Gebäudeecken, sprächen dafür, dass auch die Gebäudeecke 9 als bergseitig zu qualifizieren sei, womit das Gebäude mit 12.655 m deutlich zu hoch sei.</w:t>
      </w:r>
    </w:p>
    <w:p>
      <w:r>
        <w:rPr>
          <w:b/>
        </w:rPr>
        <w:t>E. 5.4</w:t>
      </w:r>
    </w:p>
    <w:p>
      <w:r>
        <w:t>Die Gemeinde weist auf die fünfeckige Form der beiden Gebäude hin. Sie erachtet die beiden höchstgelegenen Gebäudecken (2 und 3 beim Haus L._____ sowie 7 und 8 beim Haus M._____, vgl. angefochtener Einspracheentscheid Rz. 37) als bergseitig und die beiden tiefsten Gebäudeecken (4 und 5 beim Haus L._____ sowie 6 und 10 beim Haus M._____, vgl. angefochtener Einspracheentscheid Rz. 37) als talseitig. Ob die jeweils fünfte Ecke (1 beim Haus L._____, 9 beim Haus M._____) als berg- oder talseitig zu qualifizieren sei, hänge davon ab, ob sie sich im unteren oder oberen Bereich der überbauten Fläche befinde. Aufgrund ihres natürlichen Geländeverlaufs und ihrer Lage im unteren Teil des jeweiligen Grunds- tückteils seien die Gebäudeecke 1 des Hauses L._____ (von Süden nach Norden verlaufend) und die Gebäudeecke 9 des Hauses M._____ (von Osten nach Westen verlaufend) als talseitig zu qualifizieren. Die maximale Gebäudehöhe von 15 m sei hier eingehalten.</w:t>
      </w:r>
    </w:p>
    <w:p>
      <w:r>
        <w:rPr>
          <w:b/>
        </w:rPr>
        <w:t>E. 5.5</w:t>
      </w:r>
    </w:p>
    <w:p>
      <w:r>
        <w:t>Die Beschwerdegegnerin legt dar, die Ansicht der Gemeinde, die fragliche Gebäudeecke 9 des Hauses M._____ als talseitig zu qualifizieren, sei vertretbar. Man könne auch die Auffassung vertreten, dass bei fünfeckigen Baukörpern unab- hängig vom Terrainverlauf lediglich die zwei höchsten Gebäudeecken als bergseitig gelten sollten und die übrigen als talseitig. Jedenfalls bewege sich die Gemeinde mit ihrer Auslegung nicht ausserhalb des ihr zustehenden Beurteilungs- und Ermes- sensspielraums.</w:t>
      </w:r>
    </w:p>
    <w:p>
      <w:r>
        <w:rPr>
          <w:b/>
        </w:rPr>
        <w:t>E. 5.6</w:t>
      </w:r>
    </w:p>
    <w:p>
      <w:r>
        <w:t>Das Gericht erachtet die von der Gemeinde vorgenommene Auslegung von Art. 26 und 41 BauG bzw. nBauG als zulässig. Sie argumentiert nachvollziehbarer- weise mit dem natürlichen Geländeverlauf und der Lage der Gebäudeecken. Auf den Plänen Erdgeschoss und 1. Obergeschoss (vgl. act. C/Akten Baubewilligungs- verfahren 5) ist ersichtlich, dass das Gelände beim Haus M._____ von Osten nach Westen verläuft. D.h. im Osten sind die Gebäudeecken 7 und 8 mit den Koten 1'080.90 m.ü.M. und 1'081.66 m.ü.M. ab dem gewachsenen Terrain zu Recht als bergseitig qualifiziert worden. Die Gebäudeecken 6 und 10 mit den Koten 1'079.13 m.ü.M. und 1'078.39 m.ü.M. ab dem gewachsenen Terrain liegen am tiefsten und gelten demnach zu Recht als talseitig. Die Gebäudeecke 9 liegt mit Kote 1'080.23 m.ü.M. zwischen diesen Bereichen. Die Beschwerdeführenden gehen von der Dif- ferenz der Kote der Gebäudeecke 9 zum Durchschnitt der beiden bergseitigen Ge- bäudeecken 7 und 8 aus, die nur 1.0475 m betrage, während die Differenz zu den talseitigen Gebäudeecken 6 und 10 hingegen 1.475 m ausmache. Weil die Diffe- renz zu den bergseitigen Gebäudeecken kleiner sei, müsse die Gebäudeecke 9 nach ihrer Auffassung ebenfalls als bergseitig ansehen werden. Die Beschwerde- führenden nennen allerdings keine Gründe, weshalb diese rein mathematische Sichtweise der Beurteilung der Gemeinde, die sich nach dem Geländeverlauf rich- tet, vorgehen sollte (vgl. act. C/Akten Baubewilligungsverfahren 5: Fassadenplan M._____, Südfassade und Westfassade). Diese Ansicht der Gemeinde, der diesbe- züglich ein eigener Beurteilungs- und Ermessensspielraum zukommt, erachtet das Gericht als vertretbar. Es erscheint zulässig und nachvollziehbar, die Gebäudee- cke 9, die sich im Bereich des Gemeinschaftsraums befindet (vgl. act. C/Akten Bau- bewilligungsverfahren 5: Plan 1. Obergeschoss), aufgrund ihrer Lage als talseitig zu qualifizieren. Die Gebäudehöhe beträgt an diesem Punkt 12.65 m, womit die maxi- male Gebäudehöhe von 15 m eingehalten ist. Auch diese Rüge ist deshalb nicht zu hören. 6. Die Beschwerdeführenden rügen ferner die Dachform und die Gestaltung (Art. 42 f. BauG und nBauG).</w:t>
      </w:r>
    </w:p>
    <w:p>
      <w:r>
        <w:rPr>
          <w:b/>
        </w:rPr>
        <w:t>E. 6</w:t>
      </w:r>
    </w:p>
    <w:p>
      <w:r>
        <w:t>/ 24 kommunale Entscheide namentlich daraufhin zu überprüfen, ob sie übergeordnete, vom Kanton zu wahrende Interessen angemessen berücksichtigen, ob sie gegen übergeordnetes Recht verstossen, ob in Entscheiden betreffend die Auslegung ei- nes unbestimmten Rechtsbegriffes grundlos von Grundsätzen abgewichen wird, die Rechtsprechung und Lehre zur Auslegung dieser Begriffe entwickelt haben, ob sich die Gemeinde von unsachlichen, dem Zweck dieser Regelung fremden Erwägun- gen leiten lässt oder ob die Grundsätze der Rechtsgleichheit und Verhältnismässig- keit verletzt sind (vgl. statt vieler BGE 146 II 367 E. 3.1.4, 145 I 52 E. 3.6; Urteile des Bundesgerichts 1C_70/2021 vom 7. Januar 2022 E. 6.4, 1C_173/2020 vom 24. März 2021 E. 3.3; Urteile des Obergerichts des Kantons Graubünden VR3 24 15 vom 20. Oktober 2025 E. 2, VR3 24 64 vom 25. Juni 2025 E. 3.3, VR3 24 38 vom 19. Juni 2025 E. 4.5.1, VR3 24 14 vom 9. Mai 2025 E. 2.3; Urteile des Verwal- tungsgerichts des Kantons Graubünden R 22 37 vom 6. Februar 2024 E. 3.2, R 22</w:t>
      </w:r>
    </w:p>
    <w:p>
      <w:r>
        <w:rPr>
          <w:b/>
        </w:rPr>
        <w:t>E. 6.1</w:t>
      </w:r>
    </w:p>
    <w:p>
      <w:r>
        <w:t>Gemäss Art. 42 Abs. 1 Satz 1 BauG hat sich die Dachgestaltung den ortsüb- lichen Formen und Materialien anzugleichen. Gemäss Art. 43 Abs. 1 BauG sind alle baulichen Massnahmen in Bezug auf Form, Gliederung der Baumassen, Stellung der Giebel, Wirkung von Materialien, Farbe und Terraingestaltungen so in die land- schaftliche und bauliche Umgebung einzufügen, dass eine gute Gesamtwirkung er- reicht und das Strassen-, Orts- und Landschaftsbild nicht beeinträchtigt wird. Zudem schreibt Art. 73 Abs. 1 KRG vor, dass Siedlungen, Bauten und Anlagen nach den</w:t>
      </w:r>
    </w:p>
    <w:p>
      <w:r>
        <w:rPr>
          <w:b/>
        </w:rPr>
        <w:t>E. 6.2</w:t>
      </w:r>
    </w:p>
    <w:p>
      <w:r>
        <w:t>Auch in der Einsprache waren gestalterische Einwände gegen das Bauvor- haben vorgebracht worden. Im angefochtenen Einspracheentscheid verwies die Gemeinde auf den ihr bei der Beurteilung der Gestaltungsqualität zukommenden weiten Ermessensspielraum. Im fraglichen Quartier könne weder von einer einheit- lichen Dachgestaltung noch von einer einheitlichen Materialisierung gesprochen werden, weshalb keine Rede davon sein könne, dass die beiden Wohnhäuser mit den fünfeckigen Dächern als Fremdkörper wahrgenommen würden. Auch die dunkle Materialisierung der Fassade könne nicht als ortsfremd bezeichnet werden. Die Gemeinde weist auf den dem Bauvorhaben vorausgegangenen anonymen Wettbewerb hin, der u.a. auch die architektonische und gestalterische Qualität habe sicherstellen sollen, was nach Ansicht der Gemeinde zweifellos erreicht worden sei. Auch könnten die beiden Gebäude nicht als überdimensioniert bezeichnet werden, zumal im Hinblick auf eine maximale Ausnützung gar ein grösseres Bauvorhaben zulässig gewesen wäre. Das Projekt M._____ &amp; L._____ nehme angemessen Rück- sicht auf die umliegenden Gebäude und die Nachbarschaft (act. B.1).</w:t>
      </w:r>
    </w:p>
    <w:p>
      <w:r>
        <w:rPr>
          <w:b/>
        </w:rPr>
        <w:t>E. 6.3</w:t>
      </w:r>
    </w:p>
    <w:p>
      <w:r>
        <w:t>Die Beschwerdeführenden (im Verfahren VR3 25 60) bringen vor, dass aus der fünfeckigen Form der Wohngebäude Dächer mit jeweils fünf Dachflächen resul- tierten. Diese seien vollkommen ortsfremd und würden deshalb Art. 42 Abs. 1 BauG verletzen. Wenn die Vorinstanz argumentiere, die fünfeckige Dachform würde sich gestalterisch gut ins Quartier integrieren, sei dies nicht ausschlaggebend, weil keine Formen gewählt werden dürften, die nicht ortsüblich seien. Zusätzlich müssten hin- sichtlich der Gestaltung die Vorgaben von Art. 43 Abs.1 BauG beachtet werden. Die fünfeckige Form sei absolut aussergewöhnlich und ortsfremd und würde nicht in die bauliche Umgebung passen, sondern als Fremdkörper wahrgenommen. Die Beschwerdeführenden (im Verfahren VR3 25 61) beklagen eine willkürliche Handhabung der gestalterischen Vorschriften. Die Dachgestaltung müsse sich den ortsüblichen Formen und Materialien angleichen. Finde sich die fragliche Dachform nicht im Quartier, könne ihr keine Ortsüblichkeit attestiert werden. Die Regel bilde- ten dort das Satteldach und die orthogonale (Anm. des Obergerichts: rechtwinklig zueinander stehende) Gebäudeform. Ein Gebäude mit einem fünfeckigen Grundriss fehle gänzlich. Die Fremd- und Andersartigkeit sei evident. Dies werde unterstrichen durch die sehr dunkle Farbgestaltung der Fassaden. Die Gemeinde lege nicht dar, wo im Quartier Gebäude vorhanden wären, die auch nur ansatzweise eine ver- gleichbare, vollflächig praktisch schwarze Erscheinung aufweisen würden, weshalb sie in Willkür verfallen sei. Die beiden objektiv betrachtet sehr grossen Bauten wür-</w:t>
      </w:r>
    </w:p>
    <w:p>
      <w:r>
        <w:rPr>
          <w:b/>
        </w:rPr>
        <w:t>E. 6.4</w:t>
      </w:r>
    </w:p>
    <w:p>
      <w:r>
        <w:t>Die Gemeinde führt aus, das fünfeckige Gebäude mit der entsprechenden Dachform sei nicht baurechtswidrig. Die Dachform sei ohne Weiters mit anderen in Flims vorhandenen Dächern vergleichbar, z.B. mit demjenigen des vielfach prämier- ten «N._____». Einziger Unterschied sei, dass die geplanten Wohnhäuser über eine zusätzliche Dachfläche verfügten. Der Gemeinde komme bei der gestalterischen Beurteilung ein erheblicher Ermessensspielraum zu. Inwiefern die Gestaltung der geplanten Gebäude dem BauG zuwiderlaufe, legten die Beschwerdeführer nicht substantiiert dar. Eine Baurechtsverletzung liege nicht vor, zumal sich das Bau- grundstück in einem Gebiet befinde, das über keinen einheitlichen Überbauungsstil verfüge. Die dunkle Fassadengestaltung sei nicht ortsfremd. Auch die Gebäude auf den Parzellen Z.4._____, Z.5._____ und Z.6._____ wiesen dunkle Elemente auf. Der vorausgegangene anonyme Wettbewerb könne zutreffenderweise keine bau- rechtlichen Bestimmungen aushebeln. Dennoch habe dieser das Ziel, auch die ar- chitektonische und gestalterische Qualität sicherzustellen, zweifellos erreicht. Es müsse möglich sein, in einer Zone, in der keine besonderen Anforderungen an die Gestaltung bestehen, architektonisch individuelle Gebäude zu errichten, sofern sich diese gut in die Umgebung einfügten. Das Bauvorhaben erfülle die Anforderungen an eine gute Gestaltung im Sinne des kommunalen und kantonalen Rechts.</w:t>
      </w:r>
    </w:p>
    <w:p>
      <w:r>
        <w:rPr>
          <w:b/>
        </w:rPr>
        <w:t>E. 6.5</w:t>
      </w:r>
    </w:p>
    <w:p>
      <w:r>
        <w:t>Die Beschwerdegegnerin macht geltend, dass im Quartier O._____ keine einheitliche Dachgestaltung bestehe, vielmehr seien in unmittelbarer Nähe der Pa- rzelle Z.1._____ die unterschiedlichsten Dachformen und -materialisierungen zu fin- den. Dazu führt sie Beispiele zu den Häusern auf den Parzellen Z.6._____, Z.7._____, Z.8._____, Z.4._____, Z.9._____, Z.10._____, Z.11._____ und Z.12._____ auf. Aufgrund der ortsbaulichen Gegebenheiten lasse sich nicht bestim- men, welche Dachform und -materialisierung für das Quartier ortsüblich sei. Viel- mehr sei massgeblich, ob sich die fünfeckigen Dächer gut in die bestehende Dach- landschaft integrierten. Dies habe die Gemeinde zu Recht bejaht, und auch im Rah- men der Projektevaluation sei das Bauvorhaben deswegen gelobt worden. Das</w:t>
      </w:r>
    </w:p>
    <w:p>
      <w:r>
        <w:rPr>
          <w:b/>
        </w:rPr>
        <w:t>E. 6.6</w:t>
      </w:r>
    </w:p>
    <w:p>
      <w:r>
        <w:t>Für das Gericht ist nicht ersichtlich, inwiefern das fragliche Bauprojekt die kommunalen und kantonalen Gestaltungsnormen verletzen sollte. Auf dem Foto und dem Situationsplan in der Projektevaluation (act. C.2.2, S. D-1/D-15 und D-3) ist ersichtlich, dass im fraglichen Quartier zwar zahlreiche Satteldächer vorhanden sind, dass diesbezüglich aber keine Einheitlichkeit besteht. So weist gerade das Dach auf der der Parzelle Z.1._____ gegenüberliegenden Parzelle Z.8._____ gemäss dem Situationsplan in der Projektevaluation (act. C.2.2, S. D-3) auch eine einem Walm- bzw. Zeltdach ähnlich sehende Dachform auf und auch das Dach auf der Parzelle Z.9._____ weist eine besondere, dreigliedrige Form mit zwei Abrun- dungen auf. Schliesslich sind auf den Situationsplänen (act. C.2.2, S. D-1/D-15) auch Gebäude mit Pultdächern sowie mehrere Häuser mit dunkel materialisierten (Teil-)Flächen erkennbar. Die hier in Frage stehenden Gebäude passen sich dem Gelände an, die übrigen Häuser im Quartier weisen keine einheitliche Ausrichtung auf. Die Form des Zeltdaches (vgl. z.B. das «N._____» in Flims [www._____.ch]) und die fünfeckige Form, die auch als Pentagon bezeichnet wird, sind in der Archi- tektur nicht ungewöhnlich (vgl. z.B. Waldhütte in O.1._____ [www._____]). Nicht gefolgt werden kann der Ansicht der Beschwerdeführenden, wenn sie geltend ma- chen, diese Formen seien ortsfremd, weil sie so im fraglichen Quartier nicht vorkä- men. Vielmehr geht es darum, dass sich Form und Materialisierung den ortsüblichen Formen und Materialien angleichen, was dem vorliegenden Projekt nicht abgespro- chen werden kann. Eine Ermessensüberschreitung der Gemeinde bzw. ein Ver- stoss gegen Art. 42 Abs. 1 Satz 1 BauG/nBaug liegt nicht vor. In der Projektevalua- tion vom _____ (act. C.2.2, S. D-2) wurde zum Gebäude ausgeführt, dieses habe «eine klare Gliederung in Grundriss, Schnitt und Fassade. (...) Die für die gewählte</w:t>
      </w:r>
    </w:p>
    <w:p>
      <w:r>
        <w:rPr>
          <w:b/>
        </w:rPr>
        <w:t>E. 10</w:t>
      </w:r>
    </w:p>
    <w:p>
      <w:r>
        <w:t>/ 24</w:t>
      </w:r>
    </w:p>
    <w:p>
      <w:r>
        <w:rPr>
          <w:b/>
        </w:rPr>
        <w:t>E. 11</w:t>
      </w:r>
    </w:p>
    <w:p>
      <w:r>
        <w:t>/ 24</w:t>
      </w:r>
    </w:p>
    <w:p>
      <w:r>
        <w:rPr>
          <w:b/>
        </w:rPr>
        <w:t>E. 12</w:t>
      </w:r>
    </w:p>
    <w:p>
      <w:r>
        <w:t>/ 24 Regeln der Baukunst so zu gestalten und einzuordnen sind, dass mit der Umgebung und der Landschaft eine gute Gesamtwirkung entsteht.</w:t>
      </w:r>
    </w:p>
    <w:p>
      <w:r>
        <w:rPr>
          <w:b/>
        </w:rPr>
        <w:t>E. 13</w:t>
      </w:r>
    </w:p>
    <w:p>
      <w:r>
        <w:t>/ 24 den wie zwei unvermittelt gelandete Ufos von einem fremden Stern das Quartier negativ prägen und einschneidend verändern. Der Umstand, dass das Projekt sieg- reich aus einem Wettbewerb hervorgegangen sei, vermöge die einschlägigen Ge- setzesbestimmungen nicht auszuhebeln. Im Übrigen seien die drei anderen Wett- bewerbsbeiträge wegen erheblicher Defizite gar nicht juriert worden. Das Projekt führe schliesslich auch im Zusammenhang mit den massiven Abgrabungen und den einschneidenden Terrainveränderungen an fraglicher Hanglage zu einer künstli- chen und mit den massgeblichen Vorschriften unvereinbaren Situation, der keine gute Gestaltung und Einordnung attestiert werden könne.</w:t>
      </w:r>
    </w:p>
    <w:p>
      <w:r>
        <w:rPr>
          <w:b/>
        </w:rPr>
        <w:t>E. 14</w:t>
      </w:r>
    </w:p>
    <w:p>
      <w:r>
        <w:t>/ 24 Bauvorhaben verstosse nicht gegen Art. 42 BauG, dies umso weniger angesichts des der Gemeinde zukommenden Beurteilungs- und Ermessensspielraums. Was die Gestaltung angehe, habe schon der anonyme Wettbewerb eine hohe Qualität garantiert. Die Gebäude würden sich gut in die Umgebung einfügen und wirkten nicht als Fremdkörper. Auch die dunkle Materialisierung sei keineswegs unüblich, wie Beispiele auf den Parzellen Z.4._____, Z.3._____, Z.13._____, Z.14._____, Z.15._____ und Z.16._____ bestätigten. Schliesslich sei das Bauprojekt auch nicht überdimensioniert, zumal die gemäss Zonenschema zulässigen Masse eingehalten und die Wohnungen auf zwei Gebäude aufgeteilt seien. Wären die zulässigen Masse vollständig ausgeschöpft worden, würde das Bauvorhaben eine wesentlich imposantere Wirkung erzielen und sich deutlich negativer auf die Nachbarliegen- schaften auswirken. Das Projekt sei sowohl bezüglich Dachgestaltung als auch der allgemeinen Anforderungen an die Gestaltung nicht zu beanstanden und der Ent- scheid der Gemeinde nachvollziehbar.</w:t>
      </w:r>
    </w:p>
    <w:p>
      <w:r>
        <w:rPr>
          <w:b/>
        </w:rPr>
        <w:t>E. 15</w:t>
      </w:r>
    </w:p>
    <w:p>
      <w:r>
        <w:t>/ 24 Grundrissform nachvollziehbare Dachform mit umlaufender Traufe sowie die dunkle Holzfassade lassen das Gebäude kleiner erscheinen. Die regelmässige Fassaden- einteilung strahlt Ruhe aus. Der gut gewählte Übergang zwischen massivem Sockel im Hangbereich, offenem Holzbau auf Gartenniveau und leichter Terrassierung der beiden Gebäude bettet diese sanft im bestehenden Hang ein.» Damit ist auch nicht zu beanstanden, dass die Gemeinde dem Bauvorhaben eine gute Gesamtwirkung und Einpassung in das Orts- und Landschaftsbild im Sinne von Art. 43 Abs. 1 BauG/nBauG attestiert hat. 7. Die Beschwerdeführenden kritisieren auch das Gemeinschaftsgebäude K._____ wegen Verletzung des umweltschutzrechtlichen Vorsorgegrundsatzes. 7.1. Das in Art. 11 Abs. 2 USG umschriebene Vorsorgeprinzip sieht vor, dass Emissionen, unabhängig von der bestehenden Umweltbelastung, im Rahmen der Vorsorge so weit zu begrenzen sind, als dies technisch und betrieblich möglich und wirtschaftlich tragbar ist. Gemäss Art. 6 Abs. 1 der Luftreinhalte-Verordnung (LRV; SR 814.318.142.1) sind Emissionen möglichst nahe am Ort ihrer Entstehung mög- lichst vollständig zu erfassen und so abzuleiten, dass keine übermässigen Immissi- onen entstehen. Übermässig sind Immissionen, die einen oder mehrere Immissi- onsgrenzwerte nach Anhang 7 überschreiten (Art. 2 Abs. 5 Satz 1 LRV). 7.2. In der Einsprache war das Gemeinschaftsgebäude wegen fehlender Behin- dertengerechtigkeit und problematischer Lärm-, Rauch- und Geruchsimmissionen gerügt worden. Im angefochtenen Einspracheentscheid hielt die Gemeinde dem entgegen, dass das Gemeinschaftsgebäude sehr wohl behindertengerecht ausge- staltet sei und der SIA-Norm 5500 für hindernisfreie Bauten entspreche. Auch seien keine übermässigen Immissionen zu erwarten. Die zu erwartenden Immissionen, die in erster Linie von den Bewohnenden selbst kommen würden, entsprächen den- jenigen, die in einer Wohnzone mit Empfindlichkeitsstufe II als üblich anzusehen seien, umso mehr seien sie in der Kernzone II mit Empfindlichkeitsstufe III zu tole- rieren. Nötigenfalls könne die Bauherrschaft mittels Hausordnung regulierend ein- greifen, und bei übermässigen Immissionen könnte die Gemeinde nachträglich au- toritativ die notwendigen Massnahmen anordnen (act. B.1). 7.3. Die Beschwerdeführenden (im Verfahren VR3 25 60) befürchten, dass der Gemeinschaftsraum als Partyraum verwendet würde. Sie wünschten, dass die Ge- meinde verbindliche Vorgaben zur zulässigen Nutzung, v.a. in zeitlicher Hinsicht, machen würde.</w:t>
      </w:r>
    </w:p>
    <w:p>
      <w:r>
        <w:rPr>
          <w:b/>
        </w:rPr>
        <w:t>E. 16</w:t>
      </w:r>
    </w:p>
    <w:p>
      <w:r>
        <w:t>/ 24 Die Beschwerdeführenden (im Verfahren VR3 25 61) rügen, das Gebäude K._____ ermögliche einer grossen Anzahl von Personen den Aufenthalt inkl. Kochen auf ei- ner Feuerstelle bzw. Grillanlage. Sie beanstanden, dass diesbezüglich über die Hausordnung hinaus keine einschränkenden Bestimmungen erlassen worden seien. Die Immissionen seien präventiv zu begrenzen, damit sie kein unzulässiges Mass erreichten. Die Bauherrschaft habe es unterlassen, Angaben zu Art und Grösse der Feuerstelle zu machen, und wenn sie schreibe, die Rauch- und Ge- ruchsimmissionen seien nicht besonders störend, verkenne sie, dass eine Anlage nicht deshalb zulässig sei, weil sie nicht besonders störe, die Beschwerdeführenden müssten bereits eine erhebliche Störung nicht hinnehmen. Hier sei das umwelt- rechtliche Vorsorgeprinzip zu beachten. 7.4. Die Gemeinde hält fest, dass keine übermässigen Emissionen zu erwarten seien, weil sich das Grundstück in der Kernzone II mit der Empfindlichkeitsstufe III befinde. Allfällige Lärmimmissionen dürften in erster Linie für die Bewohnenden der Häuser L._____ &amp; M._____ störend sein, folglich werde sich die Problematik von selbst regulieren, bevor es zu relevanten Störungen für die Nachbarschaft komme. Präventive Beschränkungen anzuordnen, wäre unverhältnismässig und würde be- deuten, dass bei jedem Sitzplatz eines Mehrfamilienhauses ein solches Regime an- geordnet werden müsste. 7.5. Die Beschwerdegegnerin legt dar, die zu erwartenden Immissionen würden selbst in einer Wohnzone mit Empfindlichkeitsstufe II als üblich gelten. Umso mehr müssten sie in der Kernzone II mit Empfindlichkeitsstufe III geduldet werden. Feuer- und Grillplätze wie der vorgesehene seien in Wohnquartieren nicht unüblich, und es sei auch nicht zu erwarten, dass die Feuerstelle ständig im Einsatz sein werde. Die Rauch- und Geruchsemissionen würden daher nicht störend ausfallen. Als Benüt- zerinnen bzw. Benützer komme primär die Mieterschaft in Frage, ausschliesslich einheimische Familien mit erwerbstätigen Mitgliedern und schulpflichtigen Kindern, weshalb keine ständige Ferienstimmung mit erhöhten Lärmimmissionen zu erwar- ten sei. Etwaige Störungen würden sich auch vorwiegend intern regulieren, bevor sie Auswirkungen auf die Nachbarliegenschaften entfalten würden. In der Zwi- schenzeit habe sie einen Entwurf für die Hausordnung erarbeitet, die gewährleiste, dass die mit dem Gemeinschaftsgebäude verbundenen Immissionen in zumutbaren Grenzen verliefen und von der Nachbarschaft zu tolerieren seien. Angesichts dieser Umstände habe die Gemeinde auf eine Lärmprognose verzichten können, da diese keine neuen Erkenntnisse gebracht hätte. 7.6. Auch diese Bedenken der Beschwerdeführenden vermögen das Gericht nicht zu überzeugen. Die fragliche Parzelle befindet sich in der Kernzone II mit Emp-</w:t>
      </w:r>
    </w:p>
    <w:p>
      <w:r>
        <w:rPr>
          <w:b/>
        </w:rPr>
        <w:t>E. 17</w:t>
      </w:r>
    </w:p>
    <w:p>
      <w:r>
        <w:t>/ 24 findlichkeitsstufe III (vgl. Art. 26 BauG/nBauG). Gemäss Art. 43 der Lärmschutz- Verordnung (LSV; SR 814.41) gilt die Empfindlichkeitsstufe III in Zonen, in denen mässig störende Betriebe zugelassen sind, namentlich in Wohn- und Gewerbezo- nen (Mischzonen) sowie Landwirtschaftszonen. Mässig störend sind Betriebe, de- ren Auswirkungen im Rahmen herkömmlicher Gewerbebetriebe bleiben und nicht dauernd auftreten (Art. 27 Abs. 1 lit. b BauG). Treffen sich also Bewohnende und/oder Gäste der beiden Mehrfamilienhäuser L._____ &amp; M._____ im Pavillon oder auf dem Sitzplatz davor, um gemeinsam zu essen, zu trinken und/oder zu schwatzen, ist zu erwarten, dass sich die entstehenden Lärm- und Geruchsimmis- sionen im Rahmen des Üblichen bewegen werden. Dabei haben die Mitbewohnen- den aufeinander Rücksicht zu nehmen, was auch in Ziff. 1 des Entwurfs für eine Hausordnung festgehalten wird (act. C.2.10, S. 1). Unterlassen die Mietparteien demnach alles, was sich auf die Mitbewohner störend auswirken könnte, muss auch die Nachbarschaft keine störenden Immissionen befürchten. In Ziff. 4 der Hausord- nung (Entwurf) wird das Gebot der Rücksichtnahme nochmals explizit in Bezug auf das Grillieren festgehalten, wobei sich der Vermieter für den Fall berechtigter Re- klamationen vorbehält, das Grillieren generell zu untersagen. Ziff. 5 der Hausord- nung regelt die Hausruhe und die besondere Rücksichtnahme auf die Nachtruhe der Mitbewohner. Auch darf die Nachbarschaft nicht durch die Benützung von Mu- sik- und Fernsehapparaten sowie Musikinstrumenten bei offenen Fenstern oder Türen oder auf den Balkonen gestört werden bzw. dürfen Radio- und Fernsehappa- rate oder Musikanlagen bei geschlossenen Fenstern und Türen nur auf Zimmerlaut- stärke eingestellt werden. Schliesslich wird in Ziff. 16 insbesondere die Nutzung des Gemeinschaftsraums K._____ geregelt. Demnach darf nur der installierte Grill be- nutzt werden, auf die anderen Mieter und die Nachbarschaft ist Rücksicht zu neh- men, die Nachtruhe (ab 22:00 Uhr) ist strikt einzuhalten und es dürfen keine Musi- kanlagen im Aussenbereich aufgestellt werden. Angesichts dieser klaren Regelung des Zusammenlebens und insbesondere des detailliert beschriebenen Gebots der rücksichtsvollen Nutzung des Gemeinschafts- raums ist das umweltschutzrechtliche Vorsorgeprinzip, wonach Emissionen soweit möglich an der Quelle zu begrenzen sind, nicht verletzt. Dass bei normaler Benüt- zung des Gemeinschaftsraums mehr als mässig störende Emissionen entstehen könnten, ist nicht zu erwarten, andernfalls müsste der längere Aufenthalt auf (Gar- ten-)Sitzplätzen und Balkonen allgemein eingeschränkt und verboten werden, was dem Zweck solcher auf den Aussenraum ausgerichteten baulichen Elementen wi- derspricht, nämlich sich im Freien zu treffen und zusammenzusitzen. So wird in der Projektevaluation vom _____ (act. C.2.2, S. D-2) zum Pavillon denn auch ausge- führt: «Die zonierten Aussenräume lassen Platz für private und gemeinsame Nut-</w:t>
      </w:r>
    </w:p>
    <w:p>
      <w:r>
        <w:rPr>
          <w:b/>
        </w:rPr>
        <w:t>E. 18</w:t>
      </w:r>
    </w:p>
    <w:p>
      <w:r>
        <w:t>/ 24 zung nebeneinander zu. Der Pavillon ist gut platziert, die gemeinschaftliche Nutzung vorstellbar (...).» Schliesslich ist der Gemeinde und der Beschwerdegegnerin zuzu- stimmen, dass bei Problemen vorerst die Vermieterin und dann allenfalls auch die Gemeinde nachträglich die notwendigen Massnahmen ergreifen können. 8. Die Beschwerdeführenden (im Verfahren VR3 25 61) rügen die fehlende Baureife und Erschliessung, mithin eine Verletzung von Art. 22 RPG. 8.1. Voraussetzung einer Baubewilligung ist u.a., dass das Land erschlossen ist (Art. 22 Abs. 2 lit. b RPG). Land ist erschlossen, wenn u.a. die für die betreffende Nutzung hinreichende Zufahrt besteht (Art. 19 Abs. 1 RPG). Auch Art. 72 Abs. 2 KRG schreibt für die Erteilung einer Baubewilligung vor, dass das Bauland erschlos- sen sein muss. 8.2. Bereits in der Einsprache hatten sich die Beschwerdeführenden zur Er- schliessung geäussert. Im angefochtenen Einspracheentscheid wies die Gemeinde auf das beim Verkehrsingenieur P._____ eingeholte Verkehrsgutachten hin. Dieser klassiere die Strasse O._____ nach den VSS-Normen als Zufahrtsstrasse, bei der Strassenparzelle Z.17._____ handle es sich um einen Zufahrtsweg. Bei einer Zu- fahrtsstrasse werde ein zulässiges Verkehrsaufkommen in der Spitzenstunde von bis zu 100 Fahrzeugen als zulässig erachtet, bei einem Zufahrtsweg ein solches von 50 Fahrzeugen. Gemäss Gutachten würden die betreffenden Strassen auch nach der Überbauung der Parzelle Z.1._____ den einschlägigen technischen An- forderungen genügen. Für die Gemeinde gebe es keinen Anlass, von dieser Ein- schätzung abzuweichen. Auch die Erschliessung der Tiefgarage sei nicht zu bean- standen, zumal die Rampe eine Neigung von weniger als 15 % aufweise und ein Vorplatz von mindestens 4 m vorhanden sei (act. B.1). 8.3. Die Beschwerdeführenden (im Verfahren VR3 25 61) rügen die ungenü- gende Erschliessung bzw. das verkehrstechnische Gutachten in mehrfacher Hin- sicht. Sie kritisieren, dass in dem von der Gemeinde eingeholten verkehrstechni- schen Gutachten in Bezug auf den einspurig ausgebauten Strassenabschnitt der Strasse O._____ von einer Ausweichmöglichkeit auf Privatgrund die Rede sei. Eine solche müsse tatsächlich dargetan und auch rechtlich gesichert sein, was nicht der Fall sei. Der Gutachter gebe die von ihm zitierte VSS-Norm nicht wieder, womit das Gutachten unbrauchbar sei. Auch fehle ein Wegrecht für einen Fussweg zwischen der Strassenparzelle Z.17._____ und der Strasse O._____. Das Verkehrsaufkom- men auf der Strasse O._____ sei alles andere als «sehr klein», zumal es sich dabei um die einzige Verbindung zwischen O.2._____ und O.3._____ handle. Mit dem Bauvorhaben auf der Parzelle Z.1._____ erhöhe sich die Verkehrsbelastung, was</w:t>
      </w:r>
    </w:p>
    <w:p>
      <w:r>
        <w:rPr>
          <w:b/>
        </w:rPr>
        <w:t>E. 19</w:t>
      </w:r>
    </w:p>
    <w:p>
      <w:r>
        <w:t>/ 24 die Problematik mit dem fehlenden Fussgängerschutz und der fehlenden Kreu- zungsmöglichkeit auf grossen Teilen der Strasse O._____ akzentuiere. Tempo 30 werde dort regelmässig nicht eingehalten. Die von der Gemeinde erwähnten mögli- chen Massnahmen zur Erhöhung des Fussgängerschutzes (markierter Streifen, Mischverkehrsfläche) seien ungenügend. Im Bereich der Parzelle Z.1._____ fehle ein hinreichender Warteraum für die bloss einspurige Garagenrampe, und auch der Verkehrsweg über diese Parzelle genüge den Anforderungen an eine Zufahrts- strasse nicht, zumal auch die Sicht bei der Einmündung in die Strasse O._____ bergabwärts geradezu prekär sei. Mit der Frage eines wirksamen Fussgängerschut- zes und dem fehlenden Raum für die Erstellung eines Trottoirs habe sich die Ge- meinde gar nicht auseinandergesetzt. Notwendig wäre aber mindestens ein Fuss- gängerschutz in Form eines Trottoirs. Schliesslich verweisen die Beschwerde- führenden diesbezüglich auch auf die in der Zwischenzeit erfolgte Auflage der Teil- revision Ortsplanung, GEP, vom _____, und ihren dagegen eingereichten Einwand vom _____, mit dem sie die Ausscheidung eines Fussweges auch auf der Strasse O._____, zumindest im Abschnitt zwischen der U._____ und dem Verkehrsweg über Parzelle Z.1._____, beantragt haben. 8.4. Die Gemeinde weist darauf hin, dass sie sich im Einspracheentscheid einge- hend mit dem Verkehrsgutachten auseinandergesetzt habe. Die Erteilung einer Baubewilligung setze eine hinreichende, aber keine perfekte Erschliessung voraus. Gemäss Verkehrsgutachten seien sämtliche einschlägigen verkehrstechnischen Anforderungen eingehalten, weshalb diesbezüglich keine Anpassungen erforderlich seien. Die Realisierung des Bauvorhabens führe nicht zu einer relevanten Ver- schlechterung der Verkehrssituation auf der Strasse O._____, die Bedenken der Beschwerdeführenden seien unbegründet. Zudem sei angesichts des geltenden Tempo 30 und der Möglichkeit, einen einseitigen Längsstreifen bzw. eine Mischver- kehrsfläche als Gehweg auszubilden, auch der Fussgängerschutz gewährleistet. Die Errichtung eines Trottoirs sei weder notwendig noch rechtlich vorgeschrieben. Dass ein Fuss- und Fahrwegrecht über die Parzelle Z.1._____ (noch) fehle, stelle kein Hindernis für die Erteilung einer Baubewilligung dar. 8.5. Auch die Beschwerdegegnerin verweist auf das Verkehrsgutachten. Darin seien gemäss VSS-Norm 40 045 der Teil der Strasse O._____ und die Zufahrt in Richtung Strassenparzelle Z.17._____ bis zur Tiefgarage auf Parzelle Z.1._____ als Zufahrtsstrasse und der Teil ab diesem Punkt als Zufahrtsweg eingestuft wor- den. Eine Verkehrszählung sei nicht erforderlich, zumal es keine Anhaltspunkte gebe, dass die vom Gutachter beigezogenen, auf dem kantonalen Verkehrsmodell basierenden Verkehrszahlen fehlerhaft sein könnten. Zufahrtsstrassen könnten ei-</w:t>
      </w:r>
    </w:p>
    <w:p>
      <w:r>
        <w:rPr>
          <w:b/>
        </w:rPr>
        <w:t>E. 20</w:t>
      </w:r>
    </w:p>
    <w:p>
      <w:r>
        <w:t>/ 24 nen oder zwei Fahrstreifen aufweisen und Gehwege seien nicht unbedingt notwen- dig. Solche Strassen seien gemäss VSS-Norm für einen Spitzenstundenverkehr bis zu 100 Fahrzeugen pro Stunde geeignet. Dieser Wert werde mit den für den un- günstigsten Fall geschätzten zusätzlichen 25-30 Fahrzeugen in der massgeblichen Spitzenstunde um ein Vielfaches unterschritten. Falls nötig, wäre die Beschwerde- gegnerin damit einverstanden, entlang der östlichen Grenze der Parzelle Z.1._____ ein Fuss- und Fahrwegrecht zugunsten der Öffentlichkeit zu gewähren. Was den Zufahrtsweg betreffe, so diene ein solcher gemäss VSS-Norm der Erschliessung von Siedlungsgebieten in der Grösse von 30 Wohneinheiten. Diese Strassen müss- ten nur einspurig ausgebaut sein. Sie seien gemäss Gutachten für einen Spitzen- stundenverkehr von 50 Fahrzeugen pro Stunde geeignet. Nach der Überbauung seien dort gemäss Gutachten in der massgebenden Spitzenstunde schätzungs- weise 10-15 Fahrzeuge zu erwarten. Die maximale Kapazität der Strasse sei damit nicht erreicht und die Erstellung eines Schulweges auch nach der Überbauung der Parzelle Z.1._____ weiterhin möglich. In Bezug auf die Tiefgarage zeigt die Be- schwerdegegnerin auf, dass der Eingang der Rampe so ausgestaltet sei, dass ein Auto allfälligen Gegenverkehr abseits der Strasse abwarten könne. Auch seien die Vorgaben von Art. 51 Abs. 2 BauG eingehalten, die Vorgaben nach dem neuen BauG seien weniger streng und somit ebenfalls eingehalten. Der Fussgängerschutz sei gewährleistet, zumal es auch in der Vergangenheit nicht zu Problemen gekom- men sei. Die geringe Verkehrsdichte und die geltende Geschwindigkeitsbegrenzung (Tempo 30) würden sich positiv auf die Verkehrssicherheit auswirken. Schliesslich stellten die VSS-Normen sicher, dass die technischen Anforderungen für Strassen die Verkehrssicherheit ganzjährig, mithin auch bei winterlichen Verhältnissen ge- währleiste. Eine rechtliche Sicherstellung der Erschliessung zwischen der Strassen- parzelle Z.17._____ und der Strasse O._____, wie die Beschwerdeführenden sie verlangten, sei für die Überbauung der Parzelle Z.1._____ nicht erforderlich. 8.6. Bei der Beurteilung der genügenden Erschliessung kann das Gericht vollum- fänglich auf das Gutachten des Verkehrsingenieurs P._____ vom _____ abstellen (act. C.2.8). Dieser stellte darin auf die massgebende VSS-Norm 40 045 «Projek- tierung, Grundlagen – Strassentyp: Erschliessungsstrassen» ab (vgl. act. C.2.9) und kam zum Schluss, dass es sich bei den fraglichen Strassenabschnitten um eine Zufahrtsstrasse (O._____ und Zufahrt nach/von der Parzelle Z.17._____ bis zur Tiefgarage auf Parzelle Z.1._____) bzw. um einen Zufahrtsweg (ab der Tiefgarage bis zur Parzelle Z.17._____) handelt. Er zeigte auf, welche verkehrstechnischen An- forderungen für diese Strassentypen gelten (vgl. Gutachten S. 3), und legte dar, dass die beiden Strassen in ihrer heutigen Form auch nach Realisierung der Über- bauung sämtlichen einschlägigen verkehrstechnischen Anforderungen genügten</w:t>
      </w:r>
    </w:p>
    <w:p>
      <w:r>
        <w:rPr>
          <w:b/>
        </w:rPr>
        <w:t>E. 21</w:t>
      </w:r>
    </w:p>
    <w:p>
      <w:r>
        <w:t>/ 24 und keinerlei Anpassungen erforderlich seien. Dies begründete er damit, dass mit Ausnahme der Ortsdurchfahrt flächendeckend Tempo 30 gelte, was im Falle einer Forderung nach einem einseitigen oder als Längsstreifen bzw. Mischverkehrsfläche ausgebildeten Gehweg dazu führe, dass die Mischverkehrsfläche problemlos als eine überaus zweckmässige Lösung betrachtet werden könne. Die Forderung der Beschwerdeführenden, es sei zwingend ein Trottoir erforderlich, ist im Lichte dieser Ausführungen nicht überzeugend und wird von ihnen auch nicht näher begründet. Zudem liegt gemäss Gutachten auch nach Realisierung des Bauprojekts auf der Parzelle Z.1._____ das zu erwartende zusätzliche Verkehrsaufkommen unterhalb der Belastbarkeit selbst eines Zufahrtswegs, nämlich bei 25 bis 30 Fahrzeugen in den Spitzenstunden im oberen Bereich der Strasse O._____ (anstatt maximal 100 Fahrzeuge) und von 10 bis 15 Fahrzeugen im Bereich der Parzelle Z.17._____ (an- statt maximal 50 Fahrzeuge). Was von den Beschwerdeführenden dagegen vorgebracht wird, vermag an den gut- achterlichen Schlussfolgerungen keine Zweifel zu wecken. Insbesondere überzeugt deren Einwand, die von der Gemeinde erwähnten möglichen Massnahmen zur Er- höhung des Fussgängerschutzes seien ungenügend, angesichts der plausiblen Er- läuterungen des Gutachters (Längsstreifen, Mischverkehrsfläche, bei allgemein gel- tendem Tempo 30) nicht. Sofern die Beschwerdeführenden bestreiten, dass das Verkehrsaufkommen auf der Strasse O._____ «sehr klein» sei und dies damit be- gründen, dass es sich um die einzige Verbindung zwischen O.2._____ und O.3._____ handle, kann ihnen nicht gefolgt werden. Die Hauptverbindung zwischen den beiden Dorfteilen führt über die «Q._____» und die «R._____» (vgl. www.goo- gle.com/maps). Dass Verkehrsteilnehmer in grossem Stil auf die Strasse O._____ ausweichen würden, um von einem Dorfteil zum anderen zu gelangen, ist nicht glaubhaft dargetan und auch nicht zu erwarten, zumal die entsprechenden Zufahrts- strassen (die Strasse O._____ hinunter und im Bereich der Schule bzw. S._____ und die «T._____» wieder hinauf) teils eng sind und deren Benützung keinen Zeit- gewinn bringen dürfte. Auch die Behauptung der Beschwerdeführenden, auf dem einspurig ausgebauten Strassenabschnitt der Strasse O._____ müssten Ausweich- möglichkeit auf Privatgrund tatsächlich dargetan und auch rechtlich gesichert sein, wird nicht näher begründet. Diesbezüglich zeigte der Gutachter auch mit entspre- chendem Bildmaterial auf, dass gerade im unteren, einspurig ausgebildeten Bereich der Strasse O._____ auf private Bereiche an der Strasse ausgewichen werden kann, so insbesondere auf den gestalteten Längsstreifen auf der Parzelle Z.1._____ (act. C.2.8, S. 3, und Anhang Photodokumentation, Bilder 5-7). Darüber hinaus ist die Einräumung eines Wegrechts für einen Fussweg zwischen der Strassenparzelle</w:t>
      </w:r>
    </w:p>
    <w:p>
      <w:r>
        <w:rPr>
          <w:b/>
        </w:rPr>
        <w:t>E. 22</w:t>
      </w:r>
    </w:p>
    <w:p>
      <w:r>
        <w:t>/ 24 Z.17._____ und der Strasse O._____, wie auch die Gemeinde und die Beschwer- degegnerin darlegen, für die Erteilung einer Baubewilligung nicht erforderlich. Ein solches kann auch nach Realisierung der Überbauung jederzeit eingeräumt wer- den, die Baubewilligung steht dem jedenfalls nicht entgegen. Schliesslich ist auch der Einwand, der bloss einspurigen Rampe für die Einfahrt in die Tiefgarage fehle ein hinreichender Warteraum, nicht zu hören. Bereits aus dem Plan Erdgeschoss (act. C/Akten Baubewilligungsverfahren 5) ergibt sich, dass dem nicht so ist, mithin zwei Fahrzeuge gut abseits der Strasse kreuzen können. 9. Zusammenfassend erweisen sich die Rügen der Beschwerdeführenden als unbegründet, weshalb die Beschwerden in den Verfahren VR3 25 60 und VR3 25 61 abzuweisen sind. 10. Bei diesem Ausgang des Verfahrens gehen die Gerichtskosten, bestehend aus einer Staatsgebühr, die auf CHF 4'000.00 festgelegt wird, und den Kanzleiaus- lagen (Art. 75 Abs. 1 lit. a und b VRG), gestützt auf Art. 73 Abs. 1 und 2 sowie Art. 72 Abs. 2 VRG zu gleichen Teilen zulasten der unterliegenden Beschwerde- führenden. Da die beiden Beschwerden getrennt eingereicht und erst während des Verfahrens vereinigt wurden, haften die Beschwerdeführenden der beiden Verfah- ren nicht solidarisch (Art. 72 Abs. 2 VRG e contrario; Urteile des Verwaltungsge- richts des Kantons Graubünden A 19 54-59 vom 14. März 2023 E. 10.1; A 15 22 und 23 vom 12. April 2016 E. 4a), sondern je anteilmässig (Art. 73 Abs. 2 VRG). Solidarisch jeweils für ihren Anteil haften aber die beiden Beschwerdeführenden im Verfahren VR3 25 60 sowie für ihre Anteile die sechs Beschwerdeführenden im Ver- fahren VR3 25 61. 11. Die unterliegenden Beschwerdeführenden werden zudem verpflichtet, der Beschwerdegegnerin die durch den Rechtsstreit verursachten notwendigen Kosten zu ersetzen (Art. 78 Abs. 1 VRG). Die Rechtsvertreterin und der Rechtsvertreter der Beschwerdegegnerin haben eine Honorarvereinbarung (Stundenansatz CHF 270.00) sowie eine Honorarnote über CHF 7'365.35 (24.50 h à CHF 270.00 zzgl. 3 % Spesen und 8.1 % MWST) eingereicht. Der geltend gemachte Aufwand erweist sich als angemessen und für die Prozessführung der beiden Verfahren er- forderlich. Da die Beschwerdegegnerin vorsteuerabzugsberechtigt ist (UID-Regis- ternummer ____ , ist keine Mehrwertsteuer geschuldet (vgl. dazu PVG 2015 Nr. 19). Die Beschwerdeführenden haben der Beschwerdegegnerin somit eine Parteien- tschädigung von CHF 6'813.45 (exkl. MWST) zu bezahlen. Die Gemeinde hat keinen Anspruch auf eine Parteientschädigung, da sie in ihrem amtlichen Wirkungskreis obsiegt (Art. 78 Abs. 2 VRG).</w:t>
      </w:r>
    </w:p>
    <w:p>
      <w:r>
        <w:rPr>
          <w:b/>
        </w:rPr>
        <w:t>E. 23</w:t>
      </w:r>
    </w:p>
    <w:p>
      <w:r>
        <w:t>/ 24</w:t>
      </w:r>
    </w:p>
    <w:p>
      <w:r>
        <w:rPr>
          <w:b/>
        </w:rPr>
        <w:t>E. 24</w:t>
      </w:r>
    </w:p>
    <w:p>
      <w:r>
        <w:t>/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